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59" w:rsidRPr="009E59E1" w:rsidRDefault="009E59E1">
      <w:pPr>
        <w:pStyle w:val="Heading2"/>
        <w:widowControl/>
        <w:spacing w:before="450" w:after="450"/>
        <w:jc w:val="center"/>
        <w:rPr>
          <w:rFonts w:cs="Times New Roman"/>
          <w:color w:val="333333"/>
          <w:sz w:val="32"/>
          <w:szCs w:val="32"/>
        </w:rPr>
      </w:pPr>
      <w:r w:rsidRPr="009E59E1">
        <w:rPr>
          <w:rFonts w:cs="Times New Roman"/>
          <w:color w:val="333333"/>
          <w:sz w:val="32"/>
          <w:szCs w:val="32"/>
        </w:rPr>
        <w:t>Стандарты медицинской помощи</w:t>
      </w:r>
    </w:p>
    <w:p w:rsidR="00440759" w:rsidRPr="009E59E1" w:rsidRDefault="009E59E1">
      <w:pPr>
        <w:pStyle w:val="a4"/>
        <w:widowControl/>
        <w:spacing w:before="450" w:after="450"/>
        <w:rPr>
          <w:rFonts w:cs="Times New Roman"/>
          <w:color w:val="000000"/>
          <w:sz w:val="28"/>
          <w:szCs w:val="28"/>
        </w:rPr>
      </w:pPr>
      <w:proofErr w:type="gramStart"/>
      <w:r w:rsidRPr="009E59E1"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21 ноября 2011 г. N 323-ФЗ "Об основах охраны здоровья граждан в Российской Федерации" медицинская помощь в Российской Федерации организуется и оказывается в соответствии с порядками </w:t>
      </w:r>
      <w:r w:rsidRPr="009E59E1">
        <w:rPr>
          <w:rFonts w:cs="Times New Roman"/>
          <w:color w:val="000000"/>
          <w:sz w:val="28"/>
          <w:szCs w:val="28"/>
        </w:rPr>
        <w:t>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</w:t>
      </w:r>
      <w:proofErr w:type="gramEnd"/>
      <w:r w:rsidRPr="009E59E1">
        <w:rPr>
          <w:rFonts w:cs="Times New Roman"/>
          <w:color w:val="000000"/>
          <w:sz w:val="28"/>
          <w:szCs w:val="28"/>
        </w:rPr>
        <w:t xml:space="preserve"> апробации.</w:t>
      </w:r>
    </w:p>
    <w:p w:rsidR="00440759" w:rsidRPr="009E59E1" w:rsidRDefault="009E59E1">
      <w:pPr>
        <w:pStyle w:val="a4"/>
        <w:widowControl/>
        <w:spacing w:before="450" w:after="450"/>
        <w:rPr>
          <w:rFonts w:cs="Times New Roman"/>
          <w:color w:val="000000"/>
          <w:sz w:val="28"/>
          <w:szCs w:val="28"/>
        </w:rPr>
      </w:pPr>
      <w:r w:rsidRPr="009E59E1">
        <w:rPr>
          <w:rFonts w:cs="Times New Roman"/>
          <w:color w:val="000000"/>
          <w:sz w:val="28"/>
          <w:szCs w:val="28"/>
        </w:rPr>
        <w:t>С</w:t>
      </w:r>
      <w:r w:rsidRPr="009E59E1">
        <w:rPr>
          <w:rFonts w:cs="Times New Roman"/>
          <w:color w:val="000000"/>
          <w:sz w:val="28"/>
          <w:szCs w:val="28"/>
        </w:rPr>
        <w:t>тандарт медицинской помощи включает в себя усредненные показатели частоты и применения медицинских услуг, лекарственных препаратов, медицинских изделий, имплантируемых в организм человека, компонентов крови, видов лечебного питания, а также иные усредненны</w:t>
      </w:r>
      <w:r w:rsidRPr="009E59E1">
        <w:rPr>
          <w:rFonts w:cs="Times New Roman"/>
          <w:color w:val="000000"/>
          <w:sz w:val="28"/>
          <w:szCs w:val="28"/>
        </w:rPr>
        <w:t>е показатели, учитывающие особенности конкретного заболевания (состояния).</w:t>
      </w:r>
    </w:p>
    <w:p w:rsidR="00440759" w:rsidRPr="009E59E1" w:rsidRDefault="009E59E1">
      <w:pPr>
        <w:pStyle w:val="a4"/>
        <w:widowControl/>
        <w:spacing w:before="450" w:after="450"/>
        <w:rPr>
          <w:rFonts w:cs="Times New Roman"/>
          <w:color w:val="000000"/>
          <w:sz w:val="28"/>
          <w:szCs w:val="28"/>
        </w:rPr>
      </w:pPr>
      <w:r w:rsidRPr="009E59E1">
        <w:rPr>
          <w:rFonts w:cs="Times New Roman"/>
          <w:color w:val="000000"/>
          <w:sz w:val="28"/>
          <w:szCs w:val="28"/>
        </w:rPr>
        <w:t>При этом превышение усредненных показателей, установленных стандартами медицинской помощи, допускается при условии наличия медицинских показаний с учетом индивидуальных особенностей</w:t>
      </w:r>
      <w:r w:rsidRPr="009E59E1">
        <w:rPr>
          <w:rFonts w:cs="Times New Roman"/>
          <w:color w:val="000000"/>
          <w:sz w:val="28"/>
          <w:szCs w:val="28"/>
        </w:rPr>
        <w:t xml:space="preserve"> пациента, особенностей течения заболевания, по назначению лечащего врача. Кроме того, при наличии показаний и по результатам лабораторных и инструментальных исследований могут проводиться дополнительные диагностические исследования, не включенные в станда</w:t>
      </w:r>
      <w:r w:rsidRPr="009E59E1">
        <w:rPr>
          <w:rFonts w:cs="Times New Roman"/>
          <w:color w:val="000000"/>
          <w:sz w:val="28"/>
          <w:szCs w:val="28"/>
        </w:rPr>
        <w:t xml:space="preserve">рт. В целях обеспечения безопасности медицинской </w:t>
      </w:r>
      <w:proofErr w:type="gramStart"/>
      <w:r w:rsidRPr="009E59E1">
        <w:rPr>
          <w:rFonts w:cs="Times New Roman"/>
          <w:color w:val="000000"/>
          <w:sz w:val="28"/>
          <w:szCs w:val="28"/>
        </w:rPr>
        <w:t>помощи</w:t>
      </w:r>
      <w:proofErr w:type="gramEnd"/>
      <w:r w:rsidRPr="009E59E1">
        <w:rPr>
          <w:rFonts w:cs="Times New Roman"/>
          <w:color w:val="000000"/>
          <w:sz w:val="28"/>
          <w:szCs w:val="28"/>
        </w:rPr>
        <w:t xml:space="preserve"> при развитии конкурирующего, фонового или сопутствующего заболевания лечение данного заболевания осуществляется, исключая дублирование медицинских услуг.</w:t>
      </w:r>
    </w:p>
    <w:p w:rsidR="00440759" w:rsidRPr="009E59E1" w:rsidRDefault="009E59E1">
      <w:pPr>
        <w:pStyle w:val="a4"/>
        <w:widowControl/>
        <w:spacing w:before="450" w:after="450"/>
        <w:rPr>
          <w:rFonts w:cs="Times New Roman"/>
          <w:color w:val="000000"/>
          <w:sz w:val="28"/>
          <w:szCs w:val="28"/>
        </w:rPr>
      </w:pPr>
      <w:r w:rsidRPr="009E59E1">
        <w:rPr>
          <w:rFonts w:cs="Times New Roman"/>
          <w:color w:val="000000"/>
          <w:sz w:val="28"/>
          <w:szCs w:val="28"/>
        </w:rPr>
        <w:t>Назначение и применение лекарственных препарат</w:t>
      </w:r>
      <w:r w:rsidRPr="009E59E1">
        <w:rPr>
          <w:rFonts w:cs="Times New Roman"/>
          <w:color w:val="000000"/>
          <w:sz w:val="28"/>
          <w:szCs w:val="28"/>
        </w:rPr>
        <w:t>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</w:t>
      </w:r>
      <w:r w:rsidRPr="009E59E1">
        <w:rPr>
          <w:rFonts w:cs="Times New Roman"/>
          <w:color w:val="000000"/>
          <w:sz w:val="28"/>
          <w:szCs w:val="28"/>
        </w:rPr>
        <w:t>чебной комиссии</w:t>
      </w:r>
    </w:p>
    <w:p w:rsidR="009E59E1" w:rsidRPr="009E59E1" w:rsidRDefault="009E59E1">
      <w:pPr>
        <w:pStyle w:val="a4"/>
        <w:widowControl/>
        <w:spacing w:before="450" w:after="450"/>
        <w:rPr>
          <w:rFonts w:cs="Times New Roman"/>
          <w:color w:val="000000"/>
          <w:sz w:val="28"/>
          <w:szCs w:val="28"/>
        </w:rPr>
      </w:pPr>
      <w:r w:rsidRPr="009E59E1">
        <w:rPr>
          <w:rFonts w:cs="Times New Roman"/>
          <w:color w:val="000000"/>
          <w:sz w:val="28"/>
          <w:szCs w:val="28"/>
        </w:rPr>
        <w:t>Стандарты оказания медицинской помощи разрабатываются и утверждаются Министерством здравоохранения Российской Федерации по видам медицинской помощи и видам заболеваний</w:t>
      </w:r>
      <w:r>
        <w:rPr>
          <w:rFonts w:cs="Times New Roman"/>
          <w:color w:val="000000"/>
          <w:sz w:val="28"/>
          <w:szCs w:val="28"/>
        </w:rPr>
        <w:t>.</w:t>
      </w:r>
    </w:p>
    <w:p w:rsidR="009E59E1" w:rsidRPr="00E1091E" w:rsidRDefault="009E59E1" w:rsidP="009E59E1">
      <w:pPr>
        <w:shd w:val="clear" w:color="auto" w:fill="FFFFFF"/>
        <w:spacing w:before="235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 w:rsidRPr="00E1091E">
        <w:rPr>
          <w:rFonts w:eastAsia="Times New Roman" w:cs="Times New Roman"/>
          <w:b/>
          <w:kern w:val="36"/>
          <w:sz w:val="32"/>
          <w:szCs w:val="32"/>
          <w:lang w:eastAsia="ru-RU"/>
        </w:rPr>
        <w:lastRenderedPageBreak/>
        <w:t>2. Стандарты специализированной медицинской помощи</w:t>
      </w:r>
    </w:p>
    <w:p w:rsidR="009E59E1" w:rsidRPr="00E1091E" w:rsidRDefault="009E59E1" w:rsidP="009E59E1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1091E">
        <w:rPr>
          <w:rFonts w:eastAsia="Times New Roman" w:cs="Times New Roman"/>
          <w:b/>
          <w:sz w:val="32"/>
          <w:szCs w:val="32"/>
          <w:lang w:eastAsia="ru-RU"/>
        </w:rPr>
        <w:br/>
      </w:r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4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I. Некоторые инфекционные и паразитарные болезни (A00-B99)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5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II. Новообразования (C00-D48)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6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III. Болезни крови, кроветворных органов и отдельные нарушения, вовлекающие иммунный механизм (D50-D89)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7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IV. Болезни эндокринной системы, расстройства питания и нарушения обмена веществ (E00-E90)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V. Психические расстройства и расстройства поведения (F00-F99)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VI. Болезни нервной системы (G00-G99)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0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VII. Болезни глаза и его придаточного аппарата (H00-H59)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1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VIII. Болезни уха и сосцевидного отростка (H60-H95)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2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IX. Болезни системы кровообращения (I00-I99)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3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X. Болезни органов дыхания (J00-J99)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4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XI. Болезни органов пищеварения (K00-K93)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5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XII. Болезни кожи и подкожной клетчатки (L00-L99)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6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XIII. Болезни костно-мышечной системы и соединительной ткани (M00-M99)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7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XIV. Болезни мочеполовой системы (N00-N99)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8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XV. Беременность, роды и послеродовой период (O00-O99)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9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XVI. Отдельные состояния, возникающие в перинатальном периоде (P00-P96)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0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XVII. Врожденные аномалии (пороки развития), деформации и хромосомные нарушения (Q00-Q99)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1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XVIII. Симптомы, признаки и отклонения от нормы, выявленные при клинических и лабораторных исследованиях, не классифицированные в других рубриках (R00-R99)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2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XIX. Травмы, отравления и некоторые другие последствия воздействия внешних причин (S00-T98)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3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XX. Внешние причины заболеваемости и смертности (V01-Y98)</w:t>
        </w:r>
      </w:hyperlink>
    </w:p>
    <w:p w:rsidR="009E59E1" w:rsidRPr="00E1091E" w:rsidRDefault="009E59E1" w:rsidP="009E59E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4" w:history="1">
        <w:r w:rsidRPr="00E1091E">
          <w:rPr>
            <w:rFonts w:eastAsia="Times New Roman" w:cs="Times New Roman"/>
            <w:sz w:val="28"/>
            <w:szCs w:val="28"/>
            <w:lang w:eastAsia="ru-RU"/>
          </w:rPr>
          <w:t>Класс XXI. Факторы, влияющие на состояние здоровья и обращения в учреждения здравоохранения (Z00-Z99)</w:t>
        </w:r>
      </w:hyperlink>
    </w:p>
    <w:p w:rsidR="009E59E1" w:rsidRPr="00E1091E" w:rsidRDefault="009E59E1" w:rsidP="009E59E1">
      <w:pPr>
        <w:rPr>
          <w:rFonts w:cs="Times New Roman"/>
          <w:sz w:val="28"/>
          <w:szCs w:val="28"/>
        </w:rPr>
      </w:pPr>
    </w:p>
    <w:p w:rsidR="009E59E1" w:rsidRDefault="009E59E1">
      <w:pPr>
        <w:pStyle w:val="a4"/>
        <w:widowControl/>
        <w:spacing w:before="450" w:after="450"/>
        <w:rPr>
          <w:rFonts w:ascii="Montserrat;sans-serif" w:hAnsi="Montserrat;sans-serif"/>
          <w:color w:val="000000"/>
          <w:sz w:val="23"/>
        </w:rPr>
      </w:pPr>
    </w:p>
    <w:p w:rsidR="00440759" w:rsidRDefault="00440759"/>
    <w:sectPr w:rsidR="00440759" w:rsidSect="0044075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40759"/>
    <w:rsid w:val="00440759"/>
    <w:rsid w:val="009E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440759"/>
    <w:p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customStyle="1" w:styleId="a3">
    <w:name w:val="Заголовок"/>
    <w:basedOn w:val="a"/>
    <w:next w:val="a4"/>
    <w:qFormat/>
    <w:rsid w:val="0044075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440759"/>
    <w:pPr>
      <w:spacing w:after="140" w:line="276" w:lineRule="auto"/>
    </w:pPr>
  </w:style>
  <w:style w:type="paragraph" w:styleId="a5">
    <w:name w:val="List"/>
    <w:basedOn w:val="a4"/>
    <w:rsid w:val="00440759"/>
  </w:style>
  <w:style w:type="paragraph" w:customStyle="1" w:styleId="Caption">
    <w:name w:val="Caption"/>
    <w:basedOn w:val="a"/>
    <w:qFormat/>
    <w:rsid w:val="0044075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7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ministry/61/22/stranitsa-979/stranitsa-983/2-standarty-spetsializirovannoy-meditsinskoy-pomoschi/klass-v-psihicheskie-rasstroystva-i-rasstroystva-povedeniya-f00-f99" TargetMode="External"/><Relationship Id="rId13" Type="http://schemas.openxmlformats.org/officeDocument/2006/relationships/hyperlink" Target="https://minzdrav.gov.ru/ministry/61/22/stranitsa-979/stranitsa-983/2-standarty-spetsializirovannoy-meditsinskoy-pomoschi/klass-x-bolezni-organov-dyhaniya-j00-j99" TargetMode="External"/><Relationship Id="rId18" Type="http://schemas.openxmlformats.org/officeDocument/2006/relationships/hyperlink" Target="https://minzdrav.gov.ru/ministry/61/22/stranitsa-979/stranitsa-983/2-standarty-spetsializirovannoy-meditsinskoy-pomoschi/klass-xv-beremennost-rodi-i-poslerodovoi-period-o00-o9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inzdrav.gov.ru/ministry/61/22/stranitsa-979/stranitsa-983/2-standarty-spetsializirovannoy-meditsinskoy-pomoschi/klass-xviii-simptomi-priznaki-i-jnrkjnenia-ot-normi-viyavlennie-pri-klinicheskih-i-laboratornich-issledovaniyach-ne-klassificirovannie-v-drugih-rubrikah-r00-r99" TargetMode="External"/><Relationship Id="rId7" Type="http://schemas.openxmlformats.org/officeDocument/2006/relationships/hyperlink" Target="https://minzdrav.gov.ru/ministry/61/22/stranitsa-979/stranitsa-983/2-standarty-spetsializirovannoy-meditsinskoy-pomoschi/klass-iv-bolezni-endokrinnoy-sistemy-rasstroystva-pitaniya-i-narusheniya-obmena-veschestv-e00-e90" TargetMode="External"/><Relationship Id="rId12" Type="http://schemas.openxmlformats.org/officeDocument/2006/relationships/hyperlink" Target="https://minzdrav.gov.ru/ministry/61/22/stranitsa-979/stranitsa-983/2-standarty-spetsializirovannoy-meditsinskoy-pomoschi/klass-ix-bolezni-sistemy-krovoobrascheniya-i00-i99" TargetMode="External"/><Relationship Id="rId17" Type="http://schemas.openxmlformats.org/officeDocument/2006/relationships/hyperlink" Target="https://minzdrav.gov.ru/ministry/61/22/stranitsa-979/stranitsa-983/2-standarty-spetsializirovannoy-meditsinskoy-pomoschi/klass-xiv-bolezni-mohepolovoi-sistemy-n00-n9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zdrav.gov.ru/ministry/61/22/stranitsa-979/stranitsa-983/2-standarty-spetsializirovannoy-meditsinskoy-pomoschi/klass-xiii-bolezni-kostno-myshechnoy-sistemy-i-soedinitelnoy-tkani-m00-m99" TargetMode="External"/><Relationship Id="rId20" Type="http://schemas.openxmlformats.org/officeDocument/2006/relationships/hyperlink" Target="https://minzdrav.gov.ru/ministry/61/22/stranitsa-979/stranitsa-983/2-standarty-spetsializirovannoy-meditsinskoy-pomoschi/klass-xvii-vrozhdennie-anomalia-poroki-razvitia-deformacii-i-xromosomnie-narushenia-q00-q99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zdrav.gov.ru/ministry/61/22/stranitsa-979/stranitsa-983/2-standarty-spetsializirovannoy-meditsinskoy-pomoschi/klass-iii-bolezni-krovi-krovetvornyh-organov-i-otdelnye-narusheniya-vovlekayuschie-immunnyy-mehanizm-d50-d89" TargetMode="External"/><Relationship Id="rId11" Type="http://schemas.openxmlformats.org/officeDocument/2006/relationships/hyperlink" Target="https://minzdrav.gov.ru/ministry/61/22/stranitsa-979/stranitsa-983/2-standarty-spetsializirovannoy-meditsinskoy-pomoschi/klass-viii-bolezni-uha-i-sostsevidnogo-otrostka-h60-h95" TargetMode="External"/><Relationship Id="rId24" Type="http://schemas.openxmlformats.org/officeDocument/2006/relationships/hyperlink" Target="https://minzdrav.gov.ru/ministry/61/22/stranitsa-979/stranitsa-983/2-standarty-spetsializirovannoy-meditsinskoy-pomoschi/klass-xxi-faktori-vliyaushie-na-sostoyanie-zdorovya-i-obrashenia-v-uchrezdenia-zdravoohranenia-z00-z99" TargetMode="External"/><Relationship Id="rId5" Type="http://schemas.openxmlformats.org/officeDocument/2006/relationships/hyperlink" Target="https://minzdrav.gov.ru/ministry/61/22/stranitsa-979/stranitsa-983/2-standarty-spetsializirovannoy-meditsinskoy-pomoschi/klass-ii-novoobrazovaniya-c00-d48" TargetMode="External"/><Relationship Id="rId15" Type="http://schemas.openxmlformats.org/officeDocument/2006/relationships/hyperlink" Target="https://minzdrav.gov.ru/ministry/61/22/stranitsa-979/stranitsa-983/2-standarty-spetsializirovannoy-meditsinskoy-pomoschi/klass-xii-bolezni-kozhi-i-podkozhnoy-kletchatki-l00-l99" TargetMode="External"/><Relationship Id="rId23" Type="http://schemas.openxmlformats.org/officeDocument/2006/relationships/hyperlink" Target="https://minzdrav.gov.ru/ministry/61/22/stranitsa-979/stranitsa-983/2-standarty-spetsializirovannoy-meditsinskoy-pomoschi/klass-xx-vneshie-prichini-zabolevaemosti-i-smertnosti-v01-y98" TargetMode="External"/><Relationship Id="rId10" Type="http://schemas.openxmlformats.org/officeDocument/2006/relationships/hyperlink" Target="https://minzdrav.gov.ru/ministry/61/22/stranitsa-979/stranitsa-983/2-standarty-spetsializirovannoy-meditsinskoy-pomoschi/klass-vii-bolezni-glaza-i-ego-pridatochnogo-apparata-h00-h59" TargetMode="External"/><Relationship Id="rId19" Type="http://schemas.openxmlformats.org/officeDocument/2006/relationships/hyperlink" Target="https://minzdrav.gov.ru/ministry/61/22/stranitsa-979/stranitsa-983/2-standarty-spetsializirovannoy-meditsinskoy-pomoschi/klass-xvi-otdelnie-coctoyania-voznikaushie-v-perinatalnom-periode-p00-p96" TargetMode="External"/><Relationship Id="rId4" Type="http://schemas.openxmlformats.org/officeDocument/2006/relationships/hyperlink" Target="https://minzdrav.gov.ru/ministry/61/22/stranitsa-979/stranitsa-983/2-standarty-spetsializirovannoy-meditsinskoy-pomoschi/klass-i-nekotorye-infektsionnye-i-parazitarnye-bolezni-a00-b99" TargetMode="External"/><Relationship Id="rId9" Type="http://schemas.openxmlformats.org/officeDocument/2006/relationships/hyperlink" Target="https://minzdrav.gov.ru/ministry/61/22/stranitsa-979/stranitsa-983/2-standarty-spetsializirovannoy-meditsinskoy-pomoschi/klass-vi-bolezni-nervnoy-sistemy-g00-g99" TargetMode="External"/><Relationship Id="rId14" Type="http://schemas.openxmlformats.org/officeDocument/2006/relationships/hyperlink" Target="https://minzdrav.gov.ru/ministry/61/22/stranitsa-979/stranitsa-983/2-standarty-spetsializirovannoy-meditsinskoy-pomoschi/klass-xi-bolezni-organov-pischevareniya-k00-k93" TargetMode="External"/><Relationship Id="rId22" Type="http://schemas.openxmlformats.org/officeDocument/2006/relationships/hyperlink" Target="https://minzdrav.gov.ru/ministry/61/22/stranitsa-979/stranitsa-983/2-standarty-spetsializirovannoy-meditsinskoy-pomoschi/klass-xix-travmi-otravlenia-i-nekotorie-drugie-posledstvia-vozdeistvia-vneshnix-prichin-s00-t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2024-05-27T11:24:00Z</dcterms:created>
  <dcterms:modified xsi:type="dcterms:W3CDTF">2024-05-27T11:25:00Z</dcterms:modified>
  <dc:language>ru-RU</dc:language>
</cp:coreProperties>
</file>